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80" w:hanging="990"/>
        <w:jc w:val="center"/>
        <w:rPr>
          <w:b w:val="1"/>
        </w:rPr>
      </w:pPr>
      <w:r w:rsidDel="00000000" w:rsidR="00000000" w:rsidRPr="00000000">
        <w:rPr>
          <w:b w:val="1"/>
        </w:rPr>
        <w:drawing>
          <wp:inline distB="114300" distT="114300" distL="114300" distR="114300">
            <wp:extent cx="1262063" cy="126206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2063" cy="12620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Proposed Updates to Alberta St. George of England Society Bylaws</w:t>
      </w:r>
    </w:p>
    <w:p w:rsidR="00000000" w:rsidDel="00000000" w:rsidP="00000000" w:rsidRDefault="00000000" w:rsidRPr="00000000" w14:paraId="00000003">
      <w:pPr>
        <w:spacing w:after="240" w:before="240" w:lineRule="auto"/>
        <w:rPr/>
      </w:pPr>
      <w:r w:rsidDel="00000000" w:rsidR="00000000" w:rsidRPr="00000000">
        <w:rPr>
          <w:rtl w:val="0"/>
        </w:rPr>
        <w:t xml:space="preserve">Dear Members,</w:t>
      </w:r>
    </w:p>
    <w:p w:rsidR="00000000" w:rsidDel="00000000" w:rsidP="00000000" w:rsidRDefault="00000000" w:rsidRPr="00000000" w14:paraId="00000004">
      <w:pPr>
        <w:spacing w:after="240" w:before="240" w:lineRule="auto"/>
        <w:rPr/>
      </w:pPr>
      <w:r w:rsidDel="00000000" w:rsidR="00000000" w:rsidRPr="00000000">
        <w:rPr>
          <w:rtl w:val="0"/>
        </w:rPr>
        <w:t xml:space="preserve">We are writing to inform you of proposed updates to the Alberta St. George of England Society's bylaws. These amendments, set to replace the current 2017 bylaws, are intended to ensure compliance with the Alberta Societies Act, modernize our governance structure, and improve operational clarity. Below is a summary of the key changes and the rationale behind them:</w:t>
      </w:r>
    </w:p>
    <w:p w:rsidR="00000000" w:rsidDel="00000000" w:rsidP="00000000" w:rsidRDefault="00000000" w:rsidRPr="00000000" w14:paraId="00000005">
      <w:pPr>
        <w:pStyle w:val="Heading3"/>
        <w:keepNext w:val="0"/>
        <w:keepLines w:val="0"/>
        <w:rPr>
          <w:sz w:val="26"/>
          <w:szCs w:val="26"/>
        </w:rPr>
      </w:pPr>
      <w:bookmarkStart w:colFirst="0" w:colLast="0" w:name="_heading=h.ecdatbxx99n2" w:id="0"/>
      <w:bookmarkEnd w:id="0"/>
      <w:r w:rsidDel="00000000" w:rsidR="00000000" w:rsidRPr="00000000">
        <w:rPr>
          <w:sz w:val="26"/>
          <w:szCs w:val="26"/>
          <w:rtl w:val="0"/>
        </w:rPr>
        <w:t xml:space="preserve">Key Updates and Rationale</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Membership Structure</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Clarified eligibility for membership, ensuring inclusivity while maintaining our core values.</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Specified clear renewal deadlines and fee structures to streamline administrative processes.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Governance and Board Structure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rtl w:val="0"/>
        </w:rPr>
        <w:t xml:space="preserve">Board composition remains unchanged, but election terms for the President, Vice-President, Treasurer, and Executive Secretary have been extended to three years for continuity and stability.</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Candidates for Board positions must now declare their candidacy 21 days before the AGM, and floor nominations will no longer be accepted to allow for better planning and transparency.</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Only members with at least two years of standing can run for Board positions, ensuring leadership with experience.</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Meetings &amp; Quorum</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Added a provision that if quorum is not met at a meeting, the meeting will be rescheduled, and those present will constitute quorum, ensuring decisions can be made efficiently.</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Introduced an advance notice requirement of 30 days for AGM postings on the Society’s website and communication channels.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Financial Management</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Introduced digital banking provisions by allowing a single authorized signer for transactions while maintaining oversight mechanisms.</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Increased the limit for Executive-approved expenses from $25 to $100 for operational flexibility.</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Election and Nominations</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The requirement for candidates to submit nominations in advance allows for more structured and fair elections.</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Members must now have at least two years of membership before being eligible for Board positions (or one year if no other candidates are available).</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Committees &amp; Executive Authority</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Clearly outlined committee structures and Board authority to enhance accountability.</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The Board has explicit authority over Society affairs, with veto provisions requiring matters to be presented at a General Meeting if necessary.</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Dissolution Clause</w:t>
      </w:r>
    </w:p>
    <w:p w:rsidR="00000000" w:rsidDel="00000000" w:rsidP="00000000" w:rsidRDefault="00000000" w:rsidRPr="00000000" w14:paraId="0000001A">
      <w:pPr>
        <w:numPr>
          <w:ilvl w:val="1"/>
          <w:numId w:val="1"/>
        </w:numPr>
        <w:spacing w:after="240" w:before="0" w:beforeAutospacing="0" w:lineRule="auto"/>
        <w:ind w:left="1440" w:hanging="360"/>
      </w:pPr>
      <w:r w:rsidDel="00000000" w:rsidR="00000000" w:rsidRPr="00000000">
        <w:rPr>
          <w:rtl w:val="0"/>
        </w:rPr>
        <w:t xml:space="preserve">Clarified that upon dissolution, all remaining assets must be donated to a charitable organization, in line with non-profit requirements.</w:t>
      </w:r>
    </w:p>
    <w:p w:rsidR="00000000" w:rsidDel="00000000" w:rsidP="00000000" w:rsidRDefault="00000000" w:rsidRPr="00000000" w14:paraId="0000001B">
      <w:pPr>
        <w:spacing w:after="240" w:before="240" w:lineRule="auto"/>
        <w:rPr/>
      </w:pPr>
      <w:r w:rsidDel="00000000" w:rsidR="00000000" w:rsidRPr="00000000">
        <w:rPr>
          <w:rtl w:val="0"/>
        </w:rPr>
        <w:t xml:space="preserve">These changes are intended to modernize our governance while maintaining the traditions and objectives of the Society. The updated bylaws will be presented for approval at the next General Meeting. If you have any questions or feedback, please reach out before the meeting.</w:t>
      </w:r>
    </w:p>
    <w:p w:rsidR="00000000" w:rsidDel="00000000" w:rsidP="00000000" w:rsidRDefault="00000000" w:rsidRPr="00000000" w14:paraId="0000001C">
      <w:pPr>
        <w:spacing w:after="240" w:before="240" w:lineRule="auto"/>
        <w:rPr/>
      </w:pPr>
      <w:r w:rsidDel="00000000" w:rsidR="00000000" w:rsidRPr="00000000">
        <w:rPr>
          <w:rtl w:val="0"/>
        </w:rPr>
        <w:t xml:space="preserve">Thank you for your continued support.</w:t>
      </w:r>
    </w:p>
    <w:p w:rsidR="00000000" w:rsidDel="00000000" w:rsidP="00000000" w:rsidRDefault="00000000" w:rsidRPr="00000000" w14:paraId="0000001D">
      <w:pPr>
        <w:spacing w:after="240" w:before="240" w:lineRule="auto"/>
        <w:rPr/>
      </w:pPr>
      <w:r w:rsidDel="00000000" w:rsidR="00000000" w:rsidRPr="00000000">
        <w:rPr>
          <w:rtl w:val="0"/>
        </w:rPr>
        <w:t xml:space="preserve">Sincerely,</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Alberta St. George of England Society Board</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w:cs="Arial" w:eastAsia="Arial" w:hAnsi="Arial"/>
      <w:b w:val="1"/>
      <w:sz w:val="28"/>
      <w:szCs w:val="28"/>
    </w:rPr>
  </w:style>
  <w:style w:type="paragraph" w:styleId="Heading2">
    <w:name w:val="heading 2"/>
    <w:basedOn w:val="Normal"/>
    <w:next w:val="Normal"/>
    <w:pPr>
      <w:keepNext w:val="1"/>
      <w:keepLines w:val="1"/>
      <w:shd w:fill="c6d9f1" w:val="clear"/>
      <w:jc w:val="both"/>
    </w:pPr>
    <w:rPr>
      <w:rFonts w:ascii="Arial" w:cs="Arial" w:eastAsia="Arial" w:hAnsi="Arial"/>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w:cs="Arial" w:eastAsia="Arial" w:hAnsi="Arial"/>
      <w:b w:val="1"/>
      <w:sz w:val="28"/>
      <w:szCs w:val="28"/>
    </w:rPr>
  </w:style>
  <w:style w:type="paragraph" w:styleId="Heading2">
    <w:name w:val="heading 2"/>
    <w:basedOn w:val="Normal"/>
    <w:next w:val="Normal"/>
    <w:pPr>
      <w:keepNext w:val="1"/>
      <w:keepLines w:val="1"/>
      <w:shd w:fill="c6d9f1" w:val="clear"/>
      <w:jc w:val="both"/>
    </w:pPr>
    <w:rPr>
      <w:rFonts w:ascii="Arial" w:cs="Arial" w:eastAsia="Arial" w:hAnsi="Arial"/>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w:cs="Arial" w:eastAsia="Arial" w:hAnsi="Arial"/>
      <w:b w:val="1"/>
      <w:sz w:val="28"/>
      <w:szCs w:val="28"/>
    </w:rPr>
  </w:style>
  <w:style w:type="paragraph" w:styleId="Heading2">
    <w:name w:val="heading 2"/>
    <w:basedOn w:val="Normal"/>
    <w:next w:val="Normal"/>
    <w:pPr>
      <w:keepNext w:val="1"/>
      <w:keepLines w:val="1"/>
      <w:shd w:fill="c6d9f1" w:val="clear"/>
      <w:jc w:val="both"/>
    </w:pPr>
    <w:rPr>
      <w:rFonts w:ascii="Arial" w:cs="Arial" w:eastAsia="Arial" w:hAnsi="Arial"/>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w:cs="Arial" w:eastAsia="Arial" w:hAnsi="Arial"/>
      <w:b w:val="1"/>
      <w:sz w:val="28"/>
      <w:szCs w:val="28"/>
    </w:rPr>
  </w:style>
  <w:style w:type="paragraph" w:styleId="Heading2">
    <w:name w:val="heading 2"/>
    <w:basedOn w:val="Normal"/>
    <w:next w:val="Normal"/>
    <w:pPr>
      <w:keepNext w:val="1"/>
      <w:keepLines w:val="1"/>
      <w:shd w:fill="c6d9f1" w:val="clear"/>
      <w:jc w:val="both"/>
    </w:pPr>
    <w:rPr>
      <w:rFonts w:ascii="Arial" w:cs="Arial" w:eastAsia="Arial" w:hAnsi="Arial"/>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w:cs="Arial" w:eastAsia="Arial" w:hAnsi="Arial"/>
      <w:b w:val="1"/>
      <w:sz w:val="28"/>
      <w:szCs w:val="28"/>
    </w:rPr>
  </w:style>
  <w:style w:type="paragraph" w:styleId="Heading2">
    <w:name w:val="heading 2"/>
    <w:basedOn w:val="Normal"/>
    <w:next w:val="Normal"/>
    <w:pPr>
      <w:keepNext w:val="1"/>
      <w:keepLines w:val="1"/>
      <w:shd w:fill="c6d9f1" w:val="clear"/>
      <w:jc w:val="both"/>
    </w:pPr>
    <w:rPr>
      <w:rFonts w:ascii="Arial" w:cs="Arial" w:eastAsia="Arial" w:hAnsi="Arial"/>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Bold" w:cs="Arial Bold" w:eastAsia="Arial Bold" w:hAnsi="Arial Bold"/>
      <w:b w:val="1"/>
      <w:sz w:val="28"/>
      <w:szCs w:val="28"/>
    </w:rPr>
  </w:style>
  <w:style w:type="paragraph" w:styleId="Heading2">
    <w:name w:val="heading 2"/>
    <w:basedOn w:val="Normal"/>
    <w:next w:val="Normal"/>
    <w:pPr>
      <w:keepNext w:val="1"/>
      <w:keepLines w:val="1"/>
      <w:shd w:fill="c6d9f1" w:val="clear"/>
      <w:jc w:val="both"/>
    </w:pPr>
    <w:rPr>
      <w:rFonts w:ascii="Arial Bold" w:cs="Arial Bold" w:eastAsia="Arial Bold" w:hAnsi="Arial Bold"/>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8db3e2" w:val="clear"/>
      <w:tabs>
        <w:tab w:val="left" w:leader="none" w:pos="450"/>
        <w:tab w:val="left" w:leader="none" w:pos="10800"/>
      </w:tabs>
    </w:pPr>
    <w:rPr>
      <w:rFonts w:ascii="Arial Bold" w:cs="Arial Bold" w:eastAsia="Arial Bold" w:hAnsi="Arial Bold"/>
      <w:b w:val="1"/>
      <w:sz w:val="28"/>
      <w:szCs w:val="28"/>
    </w:rPr>
  </w:style>
  <w:style w:type="paragraph" w:styleId="Heading2">
    <w:name w:val="heading 2"/>
    <w:basedOn w:val="Normal"/>
    <w:next w:val="Normal"/>
    <w:pPr>
      <w:keepNext w:val="1"/>
      <w:keepLines w:val="1"/>
      <w:shd w:fill="c6d9f1" w:val="clear"/>
      <w:jc w:val="both"/>
    </w:pPr>
    <w:rPr>
      <w:rFonts w:ascii="Arial Bold" w:cs="Arial Bold" w:eastAsia="Arial Bold" w:hAnsi="Arial Bold"/>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373F"/>
    <w:pPr>
      <w:spacing w:after="0" w:line="240" w:lineRule="auto"/>
    </w:pPr>
  </w:style>
  <w:style w:type="paragraph" w:styleId="Heading1">
    <w:name w:val="heading 1"/>
    <w:basedOn w:val="Normal"/>
    <w:next w:val="Normal"/>
    <w:link w:val="Heading1Char"/>
    <w:autoRedefine w:val="1"/>
    <w:uiPriority w:val="1"/>
    <w:qFormat w:val="1"/>
    <w:rsid w:val="00D87768"/>
    <w:pPr>
      <w:keepNext w:val="1"/>
      <w:keepLines w:val="1"/>
      <w:shd w:color="auto" w:fill="8db3e2" w:themeFill="text2" w:themeFillTint="000066" w:val="clear"/>
      <w:tabs>
        <w:tab w:val="left" w:pos="450"/>
        <w:tab w:val="left" w:pos="10800"/>
      </w:tabs>
      <w:outlineLvl w:val="0"/>
    </w:pPr>
    <w:rPr>
      <w:rFonts w:ascii="Arial Bold" w:cs="Arial" w:eastAsia="Arial" w:hAnsi="Arial Bold"/>
      <w:b w:val="1"/>
      <w:bCs w:val="1"/>
      <w:spacing w:val="2"/>
      <w:w w:val="85"/>
      <w:sz w:val="28"/>
      <w:szCs w:val="28"/>
      <w:lang w:val="en-US"/>
    </w:rPr>
  </w:style>
  <w:style w:type="paragraph" w:styleId="Heading2">
    <w:name w:val="heading 2"/>
    <w:basedOn w:val="Normal"/>
    <w:next w:val="Normal"/>
    <w:link w:val="Heading2Char"/>
    <w:autoRedefine w:val="1"/>
    <w:uiPriority w:val="1"/>
    <w:unhideWhenUsed w:val="1"/>
    <w:qFormat w:val="1"/>
    <w:rsid w:val="00D87768"/>
    <w:pPr>
      <w:keepNext w:val="1"/>
      <w:keepLines w:val="1"/>
      <w:shd w:color="auto" w:fill="c6d9f1" w:themeFill="text2" w:themeFillTint="000033" w:val="clear"/>
      <w:jc w:val="both"/>
      <w:outlineLvl w:val="1"/>
    </w:pPr>
    <w:rPr>
      <w:rFonts w:ascii="Arial Bold" w:hAnsi="Arial Bold" w:cstheme="majorBidi" w:eastAsiaTheme="majorEastAsia"/>
      <w:bCs w:val="1"/>
      <w:color w:val="000000"/>
      <w:w w:val="90"/>
      <w:sz w:val="26"/>
      <w:szCs w:val="2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1"/>
    <w:rsid w:val="00D87768"/>
    <w:rPr>
      <w:rFonts w:ascii="Arial Bold" w:hAnsi="Arial Bold" w:cstheme="majorBidi" w:eastAsiaTheme="majorEastAsia"/>
      <w:bCs w:val="1"/>
      <w:color w:val="000000"/>
      <w:w w:val="90"/>
      <w:sz w:val="26"/>
      <w:szCs w:val="26"/>
      <w:shd w:color="auto" w:fill="c6d9f1" w:themeFill="text2" w:themeFillTint="000033" w:val="clear"/>
      <w:lang w:val="en-US"/>
    </w:rPr>
  </w:style>
  <w:style w:type="character" w:styleId="Heading1Char" w:customStyle="1">
    <w:name w:val="Heading 1 Char"/>
    <w:basedOn w:val="DefaultParagraphFont"/>
    <w:link w:val="Heading1"/>
    <w:uiPriority w:val="1"/>
    <w:rsid w:val="00D87768"/>
    <w:rPr>
      <w:rFonts w:ascii="Arial Bold" w:cs="Arial" w:eastAsia="Arial" w:hAnsi="Arial Bold"/>
      <w:b w:val="1"/>
      <w:bCs w:val="1"/>
      <w:spacing w:val="2"/>
      <w:w w:val="85"/>
      <w:sz w:val="28"/>
      <w:szCs w:val="28"/>
      <w:shd w:color="auto" w:fill="8db3e2" w:themeFill="text2" w:themeFillTint="000066" w:val="clear"/>
      <w:lang w:val="en-US"/>
    </w:rPr>
  </w:style>
  <w:style w:type="paragraph" w:styleId="ListParagraph">
    <w:name w:val="List Paragraph"/>
    <w:basedOn w:val="Normal"/>
    <w:uiPriority w:val="34"/>
    <w:qFormat w:val="1"/>
    <w:rsid w:val="00C04704"/>
    <w:pPr>
      <w:ind w:left="720"/>
      <w:contextualSpacing w:val="1"/>
    </w:pPr>
  </w:style>
  <w:style w:type="paragraph" w:styleId="Default" w:customStyle="1">
    <w:name w:val="Default"/>
    <w:rsid w:val="00623BAE"/>
    <w:pPr>
      <w:autoSpaceDE w:val="0"/>
      <w:autoSpaceDN w:val="0"/>
      <w:adjustRightInd w:val="0"/>
      <w:spacing w:after="0" w:line="240" w:lineRule="auto"/>
    </w:pPr>
    <w:rPr>
      <w:rFonts w:cs="Arial"/>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uNON6Rr3BJjUl5ClTLh1W4cQ==">CgMxLjAyDmguZWNkYXRieHg5OW4yOAByITE5emVGam5BNTMyWV9pNS1URVhzdUVOOWlCUHVDTjRnNQ==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2020-07-31T20:38:00Z</dcterms:created>
  <dc:creator>linda.cooper</dc:creator>
</cp:coreProperties>
</file>